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3D423" w14:textId="77777777" w:rsidR="005E11B9" w:rsidRDefault="009E04BC">
      <w:pPr>
        <w:rPr>
          <w:rFonts w:ascii="Times" w:hAnsi="Times"/>
        </w:rPr>
      </w:pPr>
      <w:r>
        <w:rPr>
          <w:rFonts w:ascii="Times" w:hAnsi="Times"/>
          <w:noProof/>
        </w:rPr>
        <w:drawing>
          <wp:anchor distT="0" distB="0" distL="114300" distR="124460" simplePos="0" relativeHeight="2" behindDoc="0" locked="0" layoutInCell="1" allowOverlap="1" wp14:anchorId="497AF319" wp14:editId="0CCCED1D">
            <wp:simplePos x="0" y="0"/>
            <wp:positionH relativeFrom="column">
              <wp:posOffset>10160</wp:posOffset>
            </wp:positionH>
            <wp:positionV relativeFrom="paragraph">
              <wp:posOffset>-457200</wp:posOffset>
            </wp:positionV>
            <wp:extent cx="1361440" cy="107124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6"/>
                    <a:stretch>
                      <a:fillRect/>
                    </a:stretch>
                  </pic:blipFill>
                  <pic:spPr bwMode="auto">
                    <a:xfrm>
                      <a:off x="0" y="0"/>
                      <a:ext cx="1361440" cy="1071245"/>
                    </a:xfrm>
                    <a:prstGeom prst="rect">
                      <a:avLst/>
                    </a:prstGeom>
                  </pic:spPr>
                </pic:pic>
              </a:graphicData>
            </a:graphic>
          </wp:anchor>
        </w:drawing>
      </w:r>
      <w:r>
        <w:rPr>
          <w:rFonts w:ascii="Times" w:hAnsi="Times"/>
          <w:noProof/>
        </w:rPr>
        <w:drawing>
          <wp:anchor distT="0" distB="2540" distL="114300" distR="127000" simplePos="0" relativeHeight="3" behindDoc="0" locked="0" layoutInCell="1" allowOverlap="1" wp14:anchorId="2CB11BA5" wp14:editId="217E65EE">
            <wp:simplePos x="0" y="0"/>
            <wp:positionH relativeFrom="column">
              <wp:posOffset>3200400</wp:posOffset>
            </wp:positionH>
            <wp:positionV relativeFrom="paragraph">
              <wp:posOffset>-342900</wp:posOffset>
            </wp:positionV>
            <wp:extent cx="2400300" cy="81026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7"/>
                    <a:stretch>
                      <a:fillRect/>
                    </a:stretch>
                  </pic:blipFill>
                  <pic:spPr bwMode="auto">
                    <a:xfrm>
                      <a:off x="0" y="0"/>
                      <a:ext cx="2400300" cy="810260"/>
                    </a:xfrm>
                    <a:prstGeom prst="rect">
                      <a:avLst/>
                    </a:prstGeom>
                  </pic:spPr>
                </pic:pic>
              </a:graphicData>
            </a:graphic>
          </wp:anchor>
        </w:drawing>
      </w:r>
    </w:p>
    <w:p w14:paraId="7ADE2132" w14:textId="77777777" w:rsidR="005E11B9" w:rsidRDefault="005E11B9">
      <w:pPr>
        <w:rPr>
          <w:rFonts w:ascii="Times" w:hAnsi="Times"/>
        </w:rPr>
      </w:pPr>
    </w:p>
    <w:p w14:paraId="36AC7D3E" w14:textId="77777777" w:rsidR="005E11B9" w:rsidRDefault="005E11B9">
      <w:pPr>
        <w:rPr>
          <w:rFonts w:ascii="Times" w:hAnsi="Times"/>
        </w:rPr>
      </w:pPr>
    </w:p>
    <w:p w14:paraId="124D7397" w14:textId="77777777" w:rsidR="005E11B9" w:rsidRDefault="005E11B9">
      <w:pPr>
        <w:rPr>
          <w:rFonts w:ascii="Times" w:hAnsi="Times"/>
        </w:rPr>
      </w:pPr>
    </w:p>
    <w:p w14:paraId="405826F2" w14:textId="77777777" w:rsidR="005E11B9" w:rsidRDefault="00ED3886">
      <w:pPr>
        <w:widowControl w:val="0"/>
        <w:jc w:val="center"/>
        <w:rPr>
          <w:rFonts w:ascii="Times" w:hAnsi="Times" w:cs="Arial"/>
          <w:sz w:val="34"/>
          <w:szCs w:val="34"/>
        </w:rPr>
      </w:pPr>
      <w:r>
        <w:rPr>
          <w:rFonts w:ascii="Times" w:hAnsi="Times" w:cs="Arial"/>
          <w:sz w:val="34"/>
          <w:szCs w:val="34"/>
        </w:rPr>
        <w:t>Poste de gestion et management qualité</w:t>
      </w:r>
      <w:r w:rsidR="009E04BC">
        <w:rPr>
          <w:rFonts w:ascii="Times" w:hAnsi="Times" w:cs="Arial"/>
          <w:sz w:val="34"/>
          <w:szCs w:val="34"/>
        </w:rPr>
        <w:t xml:space="preserve"> </w:t>
      </w:r>
    </w:p>
    <w:p w14:paraId="10DAE982" w14:textId="77777777" w:rsidR="005E11B9" w:rsidRDefault="009E04BC">
      <w:pPr>
        <w:widowControl w:val="0"/>
        <w:jc w:val="center"/>
        <w:rPr>
          <w:rFonts w:ascii="Times" w:hAnsi="Times" w:cs="Arial"/>
          <w:sz w:val="34"/>
          <w:szCs w:val="34"/>
        </w:rPr>
      </w:pPr>
      <w:r>
        <w:rPr>
          <w:rFonts w:ascii="Times" w:hAnsi="Times" w:cs="Arial"/>
          <w:sz w:val="34"/>
          <w:szCs w:val="34"/>
        </w:rPr>
        <w:t>Plateforme de Séquençage de l’I2BC</w:t>
      </w:r>
    </w:p>
    <w:p w14:paraId="393CE0AA" w14:textId="77777777" w:rsidR="005E11B9" w:rsidRDefault="009E04BC">
      <w:pPr>
        <w:widowControl w:val="0"/>
        <w:jc w:val="center"/>
        <w:rPr>
          <w:rFonts w:ascii="Times" w:hAnsi="Times" w:cs="Arial"/>
          <w:sz w:val="36"/>
          <w:szCs w:val="36"/>
        </w:rPr>
      </w:pPr>
      <w:r>
        <w:rPr>
          <w:rFonts w:ascii="Times" w:hAnsi="Times" w:cs="Arial"/>
          <w:sz w:val="34"/>
          <w:szCs w:val="34"/>
        </w:rPr>
        <w:t>Gif-sur-Yvette (91198)</w:t>
      </w:r>
    </w:p>
    <w:p w14:paraId="6F83BBB0" w14:textId="77777777" w:rsidR="005E11B9" w:rsidRDefault="005E11B9">
      <w:pPr>
        <w:widowControl w:val="0"/>
        <w:jc w:val="both"/>
        <w:rPr>
          <w:rFonts w:ascii="Times" w:hAnsi="Times" w:cs="Arial"/>
          <w:b/>
          <w:sz w:val="22"/>
          <w:szCs w:val="22"/>
        </w:rPr>
      </w:pPr>
    </w:p>
    <w:p w14:paraId="2BC4384A" w14:textId="77777777" w:rsidR="005E11B9" w:rsidRDefault="009E04BC">
      <w:pPr>
        <w:widowControl w:val="0"/>
        <w:spacing w:line="288" w:lineRule="auto"/>
        <w:jc w:val="both"/>
        <w:rPr>
          <w:rFonts w:ascii="Times" w:hAnsi="Times" w:cs="Arial"/>
          <w:sz w:val="20"/>
          <w:szCs w:val="20"/>
          <w:u w:val="single"/>
        </w:rPr>
      </w:pPr>
      <w:r>
        <w:rPr>
          <w:rFonts w:ascii="Times" w:hAnsi="Times" w:cs="Arial"/>
          <w:sz w:val="20"/>
          <w:szCs w:val="20"/>
          <w:u w:val="single"/>
        </w:rPr>
        <w:t>Résumé :</w:t>
      </w:r>
    </w:p>
    <w:p w14:paraId="21B03159" w14:textId="77777777" w:rsidR="005E11B9" w:rsidRDefault="009E04BC">
      <w:pPr>
        <w:tabs>
          <w:tab w:val="left" w:pos="0"/>
        </w:tabs>
        <w:spacing w:line="264" w:lineRule="auto"/>
        <w:jc w:val="both"/>
        <w:rPr>
          <w:rFonts w:ascii="Times" w:hAnsi="Times" w:cs="Arial"/>
          <w:sz w:val="20"/>
          <w:szCs w:val="20"/>
        </w:rPr>
      </w:pPr>
      <w:r>
        <w:rPr>
          <w:rFonts w:ascii="Times" w:hAnsi="Times" w:cs="Arial"/>
          <w:sz w:val="20"/>
          <w:szCs w:val="20"/>
        </w:rPr>
        <w:t>U</w:t>
      </w:r>
      <w:r w:rsidR="00ED3886">
        <w:rPr>
          <w:rFonts w:ascii="Times" w:hAnsi="Times" w:cs="Arial"/>
          <w:sz w:val="20"/>
          <w:szCs w:val="20"/>
        </w:rPr>
        <w:t>n CDD en Gestion administrative et Management de système qualité</w:t>
      </w:r>
      <w:r>
        <w:rPr>
          <w:rFonts w:ascii="Times" w:hAnsi="Times" w:cs="Arial"/>
          <w:sz w:val="20"/>
          <w:szCs w:val="20"/>
        </w:rPr>
        <w:t xml:space="preserve"> est ouvert à la Plateforme de Séquençage de l’Institut de Biologie Intégrative de la Cellule (I2BC). Le poste est ouvert au niveau d’Assistant Ingénieur. Les activités sont focalisées sur la gestion et la comptabilité des projets de séquençage</w:t>
      </w:r>
      <w:r>
        <w:rPr>
          <w:rFonts w:ascii="Times" w:eastAsia="Times New Roman" w:hAnsi="Times" w:cs="Arial"/>
          <w:sz w:val="20"/>
          <w:szCs w:val="20"/>
        </w:rPr>
        <w:t xml:space="preserve"> traités par la plateforme ainsi que sur </w:t>
      </w:r>
      <w:r w:rsidR="00ED3886">
        <w:rPr>
          <w:rFonts w:ascii="Times" w:eastAsia="Times New Roman" w:hAnsi="Times" w:cs="Arial"/>
          <w:sz w:val="20"/>
          <w:szCs w:val="20"/>
        </w:rPr>
        <w:t>le management du système Qualité en place</w:t>
      </w:r>
      <w:r>
        <w:rPr>
          <w:rFonts w:ascii="Times" w:eastAsia="Times New Roman" w:hAnsi="Times" w:cs="Arial"/>
          <w:sz w:val="20"/>
          <w:szCs w:val="20"/>
        </w:rPr>
        <w:t xml:space="preserve">. </w:t>
      </w:r>
    </w:p>
    <w:p w14:paraId="7F61DB3A" w14:textId="77777777" w:rsidR="005E11B9" w:rsidRDefault="005E11B9">
      <w:pPr>
        <w:widowControl w:val="0"/>
        <w:spacing w:line="288" w:lineRule="auto"/>
        <w:jc w:val="both"/>
        <w:rPr>
          <w:rFonts w:ascii="Times" w:hAnsi="Times" w:cs="Arial"/>
          <w:sz w:val="20"/>
          <w:szCs w:val="20"/>
          <w:u w:val="single"/>
        </w:rPr>
      </w:pPr>
    </w:p>
    <w:p w14:paraId="68242D3D" w14:textId="77777777" w:rsidR="005E11B9" w:rsidRDefault="009E04BC">
      <w:pPr>
        <w:widowControl w:val="0"/>
        <w:spacing w:line="288" w:lineRule="auto"/>
        <w:jc w:val="both"/>
        <w:rPr>
          <w:rFonts w:ascii="Times" w:hAnsi="Times" w:cs="Arial"/>
          <w:sz w:val="20"/>
          <w:szCs w:val="20"/>
          <w:u w:val="single"/>
        </w:rPr>
      </w:pPr>
      <w:r>
        <w:rPr>
          <w:rFonts w:ascii="Times" w:hAnsi="Times" w:cs="Arial"/>
          <w:sz w:val="20"/>
          <w:szCs w:val="20"/>
          <w:u w:val="single"/>
        </w:rPr>
        <w:t>L’Institut :</w:t>
      </w:r>
    </w:p>
    <w:p w14:paraId="4EE87006" w14:textId="77777777" w:rsidR="005E11B9" w:rsidRDefault="009E04BC">
      <w:pPr>
        <w:spacing w:line="288" w:lineRule="auto"/>
        <w:jc w:val="both"/>
        <w:rPr>
          <w:rFonts w:ascii="Times" w:hAnsi="Times" w:cs="Arial"/>
          <w:sz w:val="20"/>
          <w:szCs w:val="20"/>
        </w:rPr>
      </w:pPr>
      <w:r>
        <w:rPr>
          <w:rFonts w:ascii="Times" w:hAnsi="Times" w:cs="Arial"/>
          <w:sz w:val="20"/>
          <w:szCs w:val="20"/>
        </w:rPr>
        <w:t>L'Institut de Biologie Intégrative de la Cellule (I2BC) est une Unité Mixte de Recherche (UMR 9198) du CNRS, CEA et Université Paris-sud, constituée de 73 équipes de recherche et de 14 plateformes technologiques. L'institut possède une plateforme (PSI2BC), dédiée au séquençage et à l’analyse des données. L’I2BC est situé à Gif-sur-Yvette sur le campus du CNRS (Vallée de Chevreuse, Essonne), à côté de l’Université Paris-sud (Orsay) à environ 20 km au sud de Paris avec des liaisons directes RER (40 mn).</w:t>
      </w:r>
    </w:p>
    <w:p w14:paraId="461E817A" w14:textId="77777777" w:rsidR="005E11B9" w:rsidRDefault="005E11B9">
      <w:pPr>
        <w:widowControl w:val="0"/>
        <w:spacing w:line="288" w:lineRule="auto"/>
        <w:jc w:val="both"/>
        <w:rPr>
          <w:rFonts w:ascii="Times" w:hAnsi="Times" w:cs="Arial"/>
          <w:sz w:val="20"/>
          <w:szCs w:val="20"/>
          <w:u w:val="single"/>
        </w:rPr>
      </w:pPr>
    </w:p>
    <w:p w14:paraId="1B5A035C" w14:textId="77777777" w:rsidR="005E11B9" w:rsidRDefault="009E04BC">
      <w:pPr>
        <w:widowControl w:val="0"/>
        <w:spacing w:line="288" w:lineRule="auto"/>
        <w:jc w:val="both"/>
        <w:rPr>
          <w:rFonts w:ascii="Times" w:hAnsi="Times" w:cs="Arial"/>
          <w:sz w:val="20"/>
          <w:szCs w:val="20"/>
          <w:u w:val="single"/>
        </w:rPr>
      </w:pPr>
      <w:r>
        <w:rPr>
          <w:rFonts w:ascii="Times" w:hAnsi="Times" w:cs="Arial"/>
          <w:sz w:val="20"/>
          <w:szCs w:val="20"/>
          <w:u w:val="single"/>
        </w:rPr>
        <w:t>La plateforme :</w:t>
      </w:r>
    </w:p>
    <w:p w14:paraId="673F9252" w14:textId="77777777" w:rsidR="005E11B9" w:rsidRDefault="009E04BC">
      <w:pPr>
        <w:widowControl w:val="0"/>
        <w:spacing w:line="288" w:lineRule="auto"/>
        <w:jc w:val="both"/>
      </w:pPr>
      <w:r>
        <w:rPr>
          <w:rFonts w:ascii="Times" w:hAnsi="Times" w:cs="Arial"/>
          <w:sz w:val="20"/>
          <w:szCs w:val="20"/>
        </w:rPr>
        <w:t>La plateforme est composée de 1 responsable et 7 ITA. Elle est totalement ouverte aux communautés académique et industrielle et réalise une grande variété de projets de génomique : DNA-seq, RNA-seq, small RNA-seq (technologie Illumina), et depuis peu le séquençage direct d’ADN et d’ARN avec le séquenceur GridION (Oxford Nanopore). La plateforme assure la conception et le suivi des projets et traite environ 200 projets/an. La plateforme est certifiée ISO 9001 depuis 2015 et NFX 50-900 depuis 2017.</w:t>
      </w:r>
    </w:p>
    <w:p w14:paraId="0CDD52F2" w14:textId="77777777" w:rsidR="005E11B9" w:rsidRDefault="005E11B9">
      <w:pPr>
        <w:widowControl w:val="0"/>
        <w:spacing w:line="288" w:lineRule="auto"/>
        <w:jc w:val="both"/>
        <w:rPr>
          <w:rFonts w:ascii="Times" w:hAnsi="Times" w:cs="Arial"/>
          <w:sz w:val="20"/>
          <w:szCs w:val="20"/>
          <w:u w:val="single"/>
        </w:rPr>
      </w:pPr>
    </w:p>
    <w:p w14:paraId="21C3CAC2" w14:textId="77777777" w:rsidR="005E11B9" w:rsidRDefault="009E04BC">
      <w:pPr>
        <w:widowControl w:val="0"/>
        <w:spacing w:line="288" w:lineRule="auto"/>
        <w:jc w:val="both"/>
        <w:rPr>
          <w:rFonts w:ascii="Times" w:hAnsi="Times" w:cs="Arial"/>
          <w:sz w:val="20"/>
          <w:szCs w:val="20"/>
          <w:u w:val="single"/>
        </w:rPr>
      </w:pPr>
      <w:r>
        <w:rPr>
          <w:rFonts w:ascii="Times" w:hAnsi="Times" w:cs="Arial"/>
          <w:sz w:val="20"/>
          <w:szCs w:val="20"/>
          <w:u w:val="single"/>
        </w:rPr>
        <w:t>Missions :</w:t>
      </w:r>
    </w:p>
    <w:p w14:paraId="6F463AD5" w14:textId="77774839" w:rsidR="005E11B9" w:rsidRDefault="009E04BC">
      <w:pPr>
        <w:widowControl w:val="0"/>
        <w:spacing w:line="288" w:lineRule="auto"/>
        <w:jc w:val="both"/>
      </w:pPr>
      <w:r>
        <w:rPr>
          <w:rFonts w:ascii="Times" w:hAnsi="Times" w:cs="Arial"/>
          <w:sz w:val="20"/>
          <w:szCs w:val="20"/>
        </w:rPr>
        <w:t xml:space="preserve">Les missions de l’ingénieur(e) seront : (i) sous la direction des responsables de la plateforme, d’assurer la gestion et le suivi administratif des projets de séquençage en liaison avec les utilisateurs, (ii) d’assurer la rédaction et la gestion des devis, (iii) de gérer la comptabilité et les commandes de la plateforme, (iv) d’assurer </w:t>
      </w:r>
      <w:r w:rsidR="00ED3886">
        <w:rPr>
          <w:rFonts w:ascii="Times" w:hAnsi="Times" w:cs="Arial"/>
          <w:sz w:val="20"/>
          <w:szCs w:val="20"/>
        </w:rPr>
        <w:t>les fonctions de Responsable Management Qualité (RMQ)</w:t>
      </w:r>
      <w:r w:rsidR="009E7D60">
        <w:rPr>
          <w:rFonts w:ascii="Times" w:hAnsi="Times" w:cs="Arial"/>
          <w:sz w:val="20"/>
          <w:szCs w:val="20"/>
        </w:rPr>
        <w:t xml:space="preserve"> pour</w:t>
      </w:r>
      <w:r>
        <w:rPr>
          <w:rFonts w:ascii="Times" w:hAnsi="Times" w:cs="Arial"/>
          <w:sz w:val="20"/>
          <w:szCs w:val="20"/>
        </w:rPr>
        <w:t xml:space="preserve"> l’ensemble des activités de la plateforme.</w:t>
      </w:r>
    </w:p>
    <w:p w14:paraId="744BECB8" w14:textId="77777777" w:rsidR="005E11B9" w:rsidRDefault="005E11B9">
      <w:pPr>
        <w:jc w:val="both"/>
        <w:rPr>
          <w:rFonts w:ascii="Times" w:hAnsi="Times" w:cs="Arial"/>
          <w:b/>
        </w:rPr>
      </w:pPr>
    </w:p>
    <w:p w14:paraId="1FC54C0D" w14:textId="77777777" w:rsidR="005E11B9" w:rsidRDefault="009E04BC">
      <w:pPr>
        <w:widowControl w:val="0"/>
        <w:spacing w:line="288" w:lineRule="auto"/>
        <w:jc w:val="both"/>
        <w:rPr>
          <w:rFonts w:ascii="Times" w:hAnsi="Times" w:cs="Arial"/>
          <w:sz w:val="20"/>
          <w:szCs w:val="20"/>
          <w:u w:val="single"/>
        </w:rPr>
      </w:pPr>
      <w:r>
        <w:rPr>
          <w:rFonts w:ascii="Times" w:hAnsi="Times" w:cs="Arial"/>
          <w:sz w:val="20"/>
          <w:szCs w:val="20"/>
          <w:u w:val="single"/>
        </w:rPr>
        <w:t>Compétences et diplômes :</w:t>
      </w:r>
    </w:p>
    <w:p w14:paraId="6F035647" w14:textId="77777777" w:rsidR="005E11B9" w:rsidRDefault="009E04BC">
      <w:pPr>
        <w:widowControl w:val="0"/>
        <w:numPr>
          <w:ilvl w:val="0"/>
          <w:numId w:val="1"/>
        </w:numPr>
        <w:spacing w:line="288" w:lineRule="auto"/>
        <w:jc w:val="both"/>
      </w:pPr>
      <w:r>
        <w:rPr>
          <w:rFonts w:ascii="Times" w:hAnsi="Times" w:cs="Arial"/>
          <w:sz w:val="20"/>
          <w:szCs w:val="20"/>
        </w:rPr>
        <w:t xml:space="preserve">Expérience en gestion et comptabilité </w:t>
      </w:r>
    </w:p>
    <w:p w14:paraId="6E11CD8A" w14:textId="2AE6F786" w:rsidR="005E11B9" w:rsidRDefault="009E04BC">
      <w:pPr>
        <w:widowControl w:val="0"/>
        <w:numPr>
          <w:ilvl w:val="0"/>
          <w:numId w:val="1"/>
        </w:numPr>
        <w:spacing w:line="288" w:lineRule="auto"/>
        <w:jc w:val="both"/>
      </w:pPr>
      <w:r>
        <w:rPr>
          <w:rFonts w:ascii="Times" w:hAnsi="Times" w:cs="Arial"/>
          <w:sz w:val="20"/>
          <w:szCs w:val="20"/>
        </w:rPr>
        <w:t>Expérience dans la mise en œuvre et le suivi d’une démarche Qualité</w:t>
      </w:r>
    </w:p>
    <w:p w14:paraId="3C0708C4" w14:textId="77777777" w:rsidR="005E11B9" w:rsidRDefault="009E04BC">
      <w:pPr>
        <w:widowControl w:val="0"/>
        <w:numPr>
          <w:ilvl w:val="0"/>
          <w:numId w:val="1"/>
        </w:numPr>
        <w:spacing w:line="288" w:lineRule="auto"/>
        <w:jc w:val="both"/>
        <w:rPr>
          <w:rFonts w:ascii="Times" w:hAnsi="Times" w:cs="Arial"/>
          <w:sz w:val="20"/>
          <w:szCs w:val="20"/>
        </w:rPr>
      </w:pPr>
      <w:r>
        <w:rPr>
          <w:rFonts w:ascii="Times" w:hAnsi="Times" w:cs="Arial"/>
          <w:sz w:val="20"/>
          <w:szCs w:val="20"/>
        </w:rPr>
        <w:t>Connaissance souhaitée des principes du séquençage de l’ADN</w:t>
      </w:r>
    </w:p>
    <w:p w14:paraId="4832B2A8" w14:textId="6D91749A" w:rsidR="003B537C" w:rsidRDefault="003B537C">
      <w:pPr>
        <w:widowControl w:val="0"/>
        <w:numPr>
          <w:ilvl w:val="0"/>
          <w:numId w:val="1"/>
        </w:numPr>
        <w:spacing w:line="288" w:lineRule="auto"/>
        <w:jc w:val="both"/>
        <w:rPr>
          <w:rFonts w:ascii="Times" w:hAnsi="Times" w:cs="Arial"/>
          <w:sz w:val="20"/>
          <w:szCs w:val="20"/>
        </w:rPr>
      </w:pPr>
      <w:r>
        <w:rPr>
          <w:rFonts w:ascii="Times" w:hAnsi="Times" w:cs="Arial"/>
          <w:sz w:val="20"/>
          <w:szCs w:val="20"/>
        </w:rPr>
        <w:t>Qualités</w:t>
      </w:r>
      <w:r w:rsidR="009E04BC">
        <w:rPr>
          <w:rFonts w:ascii="Times" w:hAnsi="Times" w:cs="Arial"/>
          <w:sz w:val="20"/>
          <w:szCs w:val="20"/>
        </w:rPr>
        <w:t xml:space="preserve"> relationnel</w:t>
      </w:r>
      <w:r>
        <w:rPr>
          <w:rFonts w:ascii="Times" w:hAnsi="Times" w:cs="Arial"/>
          <w:sz w:val="20"/>
          <w:szCs w:val="20"/>
        </w:rPr>
        <w:t>les</w:t>
      </w:r>
      <w:r w:rsidR="009E04BC">
        <w:rPr>
          <w:rFonts w:ascii="Times" w:hAnsi="Times" w:cs="Arial"/>
          <w:sz w:val="20"/>
          <w:szCs w:val="20"/>
        </w:rPr>
        <w:t xml:space="preserve"> et </w:t>
      </w:r>
      <w:r>
        <w:rPr>
          <w:rFonts w:ascii="Times" w:hAnsi="Times" w:cs="Arial"/>
          <w:sz w:val="20"/>
          <w:szCs w:val="20"/>
        </w:rPr>
        <w:t>de communication</w:t>
      </w:r>
    </w:p>
    <w:p w14:paraId="74E814C0" w14:textId="00333A7A" w:rsidR="005E11B9" w:rsidRDefault="003B537C">
      <w:pPr>
        <w:widowControl w:val="0"/>
        <w:numPr>
          <w:ilvl w:val="0"/>
          <w:numId w:val="1"/>
        </w:numPr>
        <w:spacing w:line="288" w:lineRule="auto"/>
        <w:jc w:val="both"/>
        <w:rPr>
          <w:rFonts w:ascii="Times" w:hAnsi="Times" w:cs="Arial"/>
          <w:sz w:val="20"/>
          <w:szCs w:val="20"/>
        </w:rPr>
      </w:pPr>
      <w:r>
        <w:rPr>
          <w:rFonts w:ascii="Times" w:hAnsi="Times" w:cs="Arial"/>
          <w:sz w:val="20"/>
          <w:szCs w:val="20"/>
        </w:rPr>
        <w:t>C</w:t>
      </w:r>
      <w:bookmarkStart w:id="0" w:name="_GoBack"/>
      <w:bookmarkEnd w:id="0"/>
      <w:r>
        <w:rPr>
          <w:rFonts w:ascii="Times" w:hAnsi="Times" w:cs="Arial"/>
          <w:sz w:val="20"/>
          <w:szCs w:val="20"/>
        </w:rPr>
        <w:t>apacité à travailler de façon autonome</w:t>
      </w:r>
    </w:p>
    <w:p w14:paraId="067109E2" w14:textId="77777777" w:rsidR="005E11B9" w:rsidRDefault="009E04BC">
      <w:pPr>
        <w:widowControl w:val="0"/>
        <w:numPr>
          <w:ilvl w:val="0"/>
          <w:numId w:val="1"/>
        </w:numPr>
        <w:spacing w:line="288" w:lineRule="auto"/>
        <w:jc w:val="both"/>
      </w:pPr>
      <w:r>
        <w:rPr>
          <w:rFonts w:ascii="Times" w:hAnsi="Times" w:cs="Arial"/>
          <w:sz w:val="20"/>
          <w:szCs w:val="20"/>
        </w:rPr>
        <w:t>Maîtrise de l’anglais parlé et écrit</w:t>
      </w:r>
    </w:p>
    <w:p w14:paraId="3994C798" w14:textId="77777777" w:rsidR="005E11B9" w:rsidRDefault="009E04BC">
      <w:pPr>
        <w:widowControl w:val="0"/>
        <w:numPr>
          <w:ilvl w:val="0"/>
          <w:numId w:val="1"/>
        </w:numPr>
        <w:spacing w:line="288" w:lineRule="auto"/>
        <w:jc w:val="both"/>
      </w:pPr>
      <w:r>
        <w:rPr>
          <w:rFonts w:ascii="Times" w:hAnsi="Times" w:cs="Arial"/>
          <w:sz w:val="20"/>
          <w:szCs w:val="20"/>
        </w:rPr>
        <w:t>Titulaire d’un diplôme BAC+2</w:t>
      </w:r>
    </w:p>
    <w:p w14:paraId="1BB9D74E" w14:textId="77777777" w:rsidR="005E11B9" w:rsidRDefault="005E11B9">
      <w:pPr>
        <w:widowControl w:val="0"/>
        <w:spacing w:line="288" w:lineRule="auto"/>
        <w:jc w:val="both"/>
        <w:rPr>
          <w:rFonts w:ascii="Times" w:hAnsi="Times" w:cs="Arial"/>
          <w:sz w:val="20"/>
          <w:szCs w:val="20"/>
        </w:rPr>
      </w:pPr>
    </w:p>
    <w:p w14:paraId="438590F2" w14:textId="77777777" w:rsidR="005E11B9" w:rsidRDefault="009E04BC">
      <w:pPr>
        <w:widowControl w:val="0"/>
        <w:spacing w:line="288" w:lineRule="auto"/>
        <w:jc w:val="both"/>
        <w:rPr>
          <w:rFonts w:ascii="Times" w:hAnsi="Times" w:cs="Arial"/>
          <w:sz w:val="20"/>
          <w:szCs w:val="20"/>
        </w:rPr>
      </w:pPr>
      <w:r>
        <w:rPr>
          <w:rFonts w:ascii="Times" w:hAnsi="Times" w:cs="Arial"/>
          <w:sz w:val="20"/>
          <w:szCs w:val="20"/>
        </w:rPr>
        <w:t>Durée : 1 an renouvelable</w:t>
      </w:r>
    </w:p>
    <w:p w14:paraId="761663EF" w14:textId="77777777" w:rsidR="005E11B9" w:rsidRDefault="009E04BC">
      <w:pPr>
        <w:widowControl w:val="0"/>
        <w:spacing w:line="288" w:lineRule="auto"/>
        <w:jc w:val="both"/>
        <w:rPr>
          <w:rFonts w:ascii="Times" w:hAnsi="Times" w:cs="Arial"/>
          <w:sz w:val="20"/>
          <w:szCs w:val="20"/>
          <w:u w:val="single"/>
        </w:rPr>
      </w:pPr>
      <w:r>
        <w:rPr>
          <w:rFonts w:ascii="Times" w:hAnsi="Times" w:cs="Arial"/>
          <w:sz w:val="20"/>
          <w:szCs w:val="20"/>
        </w:rPr>
        <w:t>Les salaires sont conformes aux grilles du CNRS, suivant l’expérience. Le poste est disponible dès que possible.</w:t>
      </w:r>
    </w:p>
    <w:p w14:paraId="797EC21F" w14:textId="77777777" w:rsidR="009E04BC" w:rsidRDefault="009E04BC">
      <w:pPr>
        <w:widowControl w:val="0"/>
        <w:spacing w:line="288" w:lineRule="auto"/>
        <w:jc w:val="both"/>
        <w:rPr>
          <w:rFonts w:ascii="Times" w:hAnsi="Times" w:cs="Arial"/>
          <w:sz w:val="20"/>
          <w:szCs w:val="20"/>
        </w:rPr>
      </w:pPr>
      <w:r>
        <w:rPr>
          <w:rFonts w:ascii="Times" w:hAnsi="Times" w:cs="Arial"/>
          <w:sz w:val="20"/>
          <w:szCs w:val="20"/>
        </w:rPr>
        <w:t>Les candidat(e)s sont invité(e)s à postuler directement sur le portail emploi du CNRS à l’adresse suivante :</w:t>
      </w:r>
    </w:p>
    <w:p w14:paraId="5404C7BA" w14:textId="2FE545EF" w:rsidR="005E11B9" w:rsidRDefault="003B537C">
      <w:pPr>
        <w:widowControl w:val="0"/>
        <w:spacing w:line="288" w:lineRule="auto"/>
        <w:jc w:val="both"/>
        <w:rPr>
          <w:rFonts w:ascii="Times" w:hAnsi="Times" w:cs="Arial"/>
          <w:sz w:val="20"/>
          <w:szCs w:val="20"/>
          <w:u w:val="single"/>
        </w:rPr>
      </w:pPr>
      <w:hyperlink r:id="rId8" w:history="1">
        <w:r w:rsidR="00E122F5" w:rsidRPr="001779E1">
          <w:rPr>
            <w:rStyle w:val="Lienhypertexte"/>
            <w:rFonts w:ascii="Times" w:hAnsi="Times" w:cs="Arial"/>
            <w:sz w:val="20"/>
            <w:szCs w:val="20"/>
          </w:rPr>
          <w:t>https://emploi.cnrs.fr/Offres/CDD/UMR9198-CLATHE-002/Default.aspx</w:t>
        </w:r>
      </w:hyperlink>
    </w:p>
    <w:p w14:paraId="7C64FDAD" w14:textId="77777777" w:rsidR="005E11B9" w:rsidRDefault="009E04BC">
      <w:pPr>
        <w:spacing w:line="264" w:lineRule="auto"/>
        <w:jc w:val="both"/>
        <w:rPr>
          <w:rFonts w:ascii="Times" w:hAnsi="Times" w:cs="Arial"/>
          <w:sz w:val="20"/>
          <w:szCs w:val="20"/>
        </w:rPr>
      </w:pPr>
      <w:r>
        <w:rPr>
          <w:rFonts w:ascii="Times" w:hAnsi="Times" w:cs="Arial"/>
          <w:sz w:val="20"/>
          <w:szCs w:val="20"/>
        </w:rPr>
        <w:t>Pour plus d’informations :</w:t>
      </w:r>
    </w:p>
    <w:p w14:paraId="4964C4D1" w14:textId="77777777" w:rsidR="005E11B9" w:rsidRDefault="009E04BC">
      <w:pPr>
        <w:spacing w:line="264" w:lineRule="auto"/>
        <w:ind w:left="720" w:hanging="720"/>
        <w:jc w:val="both"/>
      </w:pPr>
      <w:r>
        <w:rPr>
          <w:rFonts w:ascii="Times" w:hAnsi="Times" w:cs="Arial"/>
          <w:sz w:val="20"/>
          <w:szCs w:val="20"/>
        </w:rPr>
        <w:t xml:space="preserve">Institut de Biologie Intégrative de la Cellule : </w:t>
      </w:r>
      <w:hyperlink r:id="rId9">
        <w:r>
          <w:rPr>
            <w:rStyle w:val="LienInternet"/>
            <w:rFonts w:ascii="Times" w:hAnsi="Times" w:cs="Arial"/>
            <w:i/>
            <w:sz w:val="20"/>
            <w:szCs w:val="20"/>
          </w:rPr>
          <w:t>https://www.i2bc.paris-saclay.fr/</w:t>
        </w:r>
      </w:hyperlink>
    </w:p>
    <w:p w14:paraId="39DF6037" w14:textId="77777777" w:rsidR="005E11B9" w:rsidRDefault="009E04BC">
      <w:pPr>
        <w:spacing w:line="264" w:lineRule="auto"/>
        <w:ind w:left="720" w:hanging="720"/>
        <w:jc w:val="both"/>
      </w:pPr>
      <w:r>
        <w:rPr>
          <w:rFonts w:ascii="Times" w:hAnsi="Times" w:cs="Arial"/>
          <w:sz w:val="20"/>
          <w:szCs w:val="20"/>
        </w:rPr>
        <w:lastRenderedPageBreak/>
        <w:t>Plateforme de Séquençage de l’I2BC :</w:t>
      </w:r>
      <w:r>
        <w:rPr>
          <w:rFonts w:ascii="Times" w:hAnsi="Times" w:cs="Arial"/>
          <w:color w:val="800C49"/>
          <w:sz w:val="20"/>
          <w:szCs w:val="20"/>
        </w:rPr>
        <w:t xml:space="preserve"> </w:t>
      </w:r>
      <w:hyperlink r:id="rId10">
        <w:r>
          <w:rPr>
            <w:rStyle w:val="LienInternet"/>
            <w:rFonts w:ascii="Times" w:hAnsi="Times" w:cs="Arial"/>
            <w:i/>
            <w:sz w:val="20"/>
            <w:szCs w:val="20"/>
          </w:rPr>
          <w:t>https://www.i2bc.paris-saclay.fr/spip.php?article399</w:t>
        </w:r>
      </w:hyperlink>
    </w:p>
    <w:sectPr w:rsidR="005E11B9">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A5BC5"/>
    <w:multiLevelType w:val="multilevel"/>
    <w:tmpl w:val="BFEAF4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4CB339B1"/>
    <w:multiLevelType w:val="multilevel"/>
    <w:tmpl w:val="0A768E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B9"/>
    <w:rsid w:val="003B537C"/>
    <w:rsid w:val="00460309"/>
    <w:rsid w:val="005E11B9"/>
    <w:rsid w:val="007A55C1"/>
    <w:rsid w:val="009E04BC"/>
    <w:rsid w:val="009E7D60"/>
    <w:rsid w:val="00E122F5"/>
    <w:rsid w:val="00ED38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563FB3"/>
    <w:rPr>
      <w:color w:val="0000FF" w:themeColor="hyperlink"/>
      <w:u w:val="single"/>
    </w:rPr>
  </w:style>
  <w:style w:type="character" w:styleId="Lienhypertextesuivi">
    <w:name w:val="FollowedHyperlink"/>
    <w:basedOn w:val="Policepardfaut"/>
    <w:uiPriority w:val="99"/>
    <w:semiHidden/>
    <w:unhideWhenUsed/>
    <w:qFormat/>
    <w:rsid w:val="00160051"/>
    <w:rPr>
      <w:color w:val="800080" w:themeColor="followedHyperlink"/>
      <w:u w:val="single"/>
    </w:rPr>
  </w:style>
  <w:style w:type="character" w:customStyle="1" w:styleId="ListLabel1">
    <w:name w:val="ListLabel 1"/>
    <w:qFormat/>
    <w:rPr>
      <w:rFonts w:ascii="Times" w:hAnsi="Times"/>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w:hAnsi="Times"/>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w:hAnsi="Times" w:cs="Arial"/>
      <w:i/>
      <w:sz w:val="20"/>
      <w:szCs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character" w:styleId="Lienhypertexte">
    <w:name w:val="Hyperlink"/>
    <w:basedOn w:val="Policepardfaut"/>
    <w:uiPriority w:val="99"/>
    <w:unhideWhenUsed/>
    <w:rsid w:val="009E04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563FB3"/>
    <w:rPr>
      <w:color w:val="0000FF" w:themeColor="hyperlink"/>
      <w:u w:val="single"/>
    </w:rPr>
  </w:style>
  <w:style w:type="character" w:styleId="Lienhypertextesuivi">
    <w:name w:val="FollowedHyperlink"/>
    <w:basedOn w:val="Policepardfaut"/>
    <w:uiPriority w:val="99"/>
    <w:semiHidden/>
    <w:unhideWhenUsed/>
    <w:qFormat/>
    <w:rsid w:val="00160051"/>
    <w:rPr>
      <w:color w:val="800080" w:themeColor="followedHyperlink"/>
      <w:u w:val="single"/>
    </w:rPr>
  </w:style>
  <w:style w:type="character" w:customStyle="1" w:styleId="ListLabel1">
    <w:name w:val="ListLabel 1"/>
    <w:qFormat/>
    <w:rPr>
      <w:rFonts w:ascii="Times" w:hAnsi="Times"/>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w:hAnsi="Times"/>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w:hAnsi="Times" w:cs="Arial"/>
      <w:i/>
      <w:sz w:val="20"/>
      <w:szCs w:val="20"/>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character" w:styleId="Lienhypertexte">
    <w:name w:val="Hyperlink"/>
    <w:basedOn w:val="Policepardfaut"/>
    <w:uiPriority w:val="99"/>
    <w:unhideWhenUsed/>
    <w:rsid w:val="009E0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tif"/><Relationship Id="rId8" Type="http://schemas.openxmlformats.org/officeDocument/2006/relationships/hyperlink" Target="https://emploi.cnrs.fr/Offres/CDD/UMR9198-CLATHE-002/Default.aspx" TargetMode="External"/><Relationship Id="rId9" Type="http://schemas.openxmlformats.org/officeDocument/2006/relationships/hyperlink" Target="https://www.i2bc.paris-saclay.fr/" TargetMode="External"/><Relationship Id="rId10" Type="http://schemas.openxmlformats.org/officeDocument/2006/relationships/hyperlink" Target="https://www.i2bc.paris-saclay.fr/spip.php?article39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343</Words>
  <Characters>2723</Characters>
  <Application>Microsoft Macintosh Word</Application>
  <DocSecurity>0</DocSecurity>
  <Lines>71</Lines>
  <Paragraphs>26</Paragraphs>
  <ScaleCrop>false</ScaleCrop>
  <Company>CNRS CGM</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Thermes</dc:creator>
  <dc:description/>
  <cp:lastModifiedBy>Maud Silvain</cp:lastModifiedBy>
  <cp:revision>8</cp:revision>
  <cp:lastPrinted>2018-05-09T10:56:00Z</cp:lastPrinted>
  <dcterms:created xsi:type="dcterms:W3CDTF">2020-08-10T17:45:00Z</dcterms:created>
  <dcterms:modified xsi:type="dcterms:W3CDTF">2020-08-13T13:30:00Z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CNRS CGM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